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55D7" w14:textId="0FA6CA9E" w:rsidR="00197478" w:rsidRDefault="00197478" w:rsidP="00197478">
      <w:pPr>
        <w:tabs>
          <w:tab w:val="left" w:pos="284"/>
        </w:tabs>
        <w:spacing w:after="0" w:line="360" w:lineRule="auto"/>
        <w:contextualSpacing/>
        <w:jc w:val="right"/>
        <w:rPr>
          <w:rFonts w:ascii="ApparatSemiCond" w:hAnsi="ApparatSemiCond" w:cs="Times New Roman"/>
          <w:sz w:val="24"/>
          <w:szCs w:val="24"/>
        </w:rPr>
      </w:pPr>
      <w:r>
        <w:rPr>
          <w:rFonts w:ascii="ApparatSemiCond" w:hAnsi="ApparatSemiCond" w:cs="Times New Roman"/>
          <w:noProof/>
          <w:sz w:val="24"/>
          <w:szCs w:val="24"/>
          <w14:ligatures w14:val="standardContextual"/>
        </w:rPr>
        <w:drawing>
          <wp:inline distT="0" distB="0" distL="0" distR="0" wp14:anchorId="0CB7CB92" wp14:editId="15F805C5">
            <wp:extent cx="1264920" cy="626436"/>
            <wp:effectExtent l="0" t="0" r="5080" b="0"/>
            <wp:docPr id="1255530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30216"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920" cy="626436"/>
                    </a:xfrm>
                    <a:prstGeom prst="rect">
                      <a:avLst/>
                    </a:prstGeom>
                  </pic:spPr>
                </pic:pic>
              </a:graphicData>
            </a:graphic>
          </wp:inline>
        </w:drawing>
      </w:r>
    </w:p>
    <w:p w14:paraId="1F0897F5" w14:textId="77777777" w:rsidR="00197478" w:rsidRDefault="00197478" w:rsidP="00E91DE6">
      <w:pPr>
        <w:tabs>
          <w:tab w:val="left" w:pos="284"/>
        </w:tabs>
        <w:spacing w:after="0" w:line="360" w:lineRule="auto"/>
        <w:contextualSpacing/>
        <w:jc w:val="both"/>
        <w:rPr>
          <w:rFonts w:ascii="ApparatSemiCond" w:hAnsi="ApparatSemiCond" w:cs="Times New Roman"/>
          <w:sz w:val="24"/>
          <w:szCs w:val="24"/>
        </w:rPr>
      </w:pPr>
    </w:p>
    <w:p w14:paraId="55746E41" w14:textId="57F2F75D" w:rsidR="00CD5F80" w:rsidRPr="007F78F8" w:rsidRDefault="00CD5F80" w:rsidP="00E91DE6">
      <w:pPr>
        <w:tabs>
          <w:tab w:val="left" w:pos="284"/>
        </w:tabs>
        <w:spacing w:after="0" w:line="360" w:lineRule="auto"/>
        <w:contextualSpacing/>
        <w:jc w:val="both"/>
        <w:rPr>
          <w:rFonts w:ascii="ApparatSemiCond" w:hAnsi="ApparatSemiCond" w:cs="Times New Roman"/>
          <w:sz w:val="24"/>
          <w:szCs w:val="24"/>
        </w:rPr>
      </w:pPr>
      <w:r w:rsidRPr="007F78F8">
        <w:rPr>
          <w:rFonts w:ascii="ApparatSemiCond" w:hAnsi="ApparatSemiCond" w:cs="Times New Roman"/>
          <w:sz w:val="24"/>
          <w:szCs w:val="24"/>
        </w:rPr>
        <w:t>dr hab. Magdalena Szafranek</w:t>
      </w:r>
    </w:p>
    <w:p w14:paraId="6EB6A115" w14:textId="77777777" w:rsidR="00CD5F80" w:rsidRPr="007F78F8" w:rsidRDefault="00CD5F80" w:rsidP="00E91DE6">
      <w:pPr>
        <w:tabs>
          <w:tab w:val="left" w:pos="284"/>
        </w:tabs>
        <w:spacing w:after="0" w:line="360" w:lineRule="auto"/>
        <w:contextualSpacing/>
        <w:jc w:val="both"/>
        <w:rPr>
          <w:rFonts w:ascii="ApparatSemiCond" w:hAnsi="ApparatSemiCond" w:cs="Times New Roman"/>
          <w:sz w:val="24"/>
          <w:szCs w:val="24"/>
        </w:rPr>
      </w:pPr>
      <w:r w:rsidRPr="007F78F8">
        <w:rPr>
          <w:rFonts w:ascii="ApparatSemiCond" w:hAnsi="ApparatSemiCond" w:cs="Times New Roman"/>
          <w:sz w:val="24"/>
          <w:szCs w:val="24"/>
        </w:rPr>
        <w:t>Uniwersytet Warszawski</w:t>
      </w:r>
    </w:p>
    <w:p w14:paraId="0766C0F4" w14:textId="77777777" w:rsidR="00CD5F80" w:rsidRPr="007F78F8" w:rsidRDefault="00CD5F80" w:rsidP="00E91DE6">
      <w:pPr>
        <w:spacing w:after="0" w:line="360" w:lineRule="auto"/>
        <w:jc w:val="both"/>
        <w:rPr>
          <w:rFonts w:ascii="ApparatSemiCond" w:hAnsi="ApparatSemiCond" w:cs="Times New Roman"/>
          <w:sz w:val="24"/>
          <w:szCs w:val="24"/>
        </w:rPr>
      </w:pPr>
    </w:p>
    <w:p w14:paraId="066AAC6C" w14:textId="77777777" w:rsidR="00CD5F80" w:rsidRPr="007F78F8" w:rsidRDefault="00CD5F80" w:rsidP="00E91DE6">
      <w:pPr>
        <w:spacing w:after="0" w:line="360" w:lineRule="auto"/>
        <w:jc w:val="center"/>
        <w:rPr>
          <w:rFonts w:ascii="ApparatSemiCond" w:hAnsi="ApparatSemiCond" w:cs="Times New Roman"/>
          <w:b/>
          <w:bCs/>
          <w:sz w:val="24"/>
          <w:szCs w:val="24"/>
        </w:rPr>
      </w:pPr>
      <w:r w:rsidRPr="007F78F8">
        <w:rPr>
          <w:rFonts w:ascii="ApparatSemiCond" w:hAnsi="ApparatSemiCond" w:cs="Times New Roman"/>
          <w:b/>
          <w:bCs/>
          <w:sz w:val="24"/>
          <w:szCs w:val="24"/>
        </w:rPr>
        <w:t>Przemoc domowa – zagadnienia definicyjne</w:t>
      </w:r>
    </w:p>
    <w:p w14:paraId="5C6823DE" w14:textId="77777777" w:rsidR="00CD5F80" w:rsidRPr="007F78F8" w:rsidRDefault="00CD5F80" w:rsidP="00E91DE6">
      <w:pPr>
        <w:spacing w:after="0" w:line="360" w:lineRule="auto"/>
        <w:jc w:val="center"/>
        <w:rPr>
          <w:rFonts w:ascii="ApparatSemiCond" w:hAnsi="ApparatSemiCond" w:cs="Times New Roman"/>
          <w:b/>
          <w:bCs/>
          <w:sz w:val="24"/>
          <w:szCs w:val="24"/>
        </w:rPr>
      </w:pPr>
    </w:p>
    <w:p w14:paraId="49354918" w14:textId="77777777" w:rsidR="00E91DE6" w:rsidRPr="007F78F8" w:rsidRDefault="00B62346" w:rsidP="00E91DE6">
      <w:pPr>
        <w:shd w:val="clear" w:color="auto" w:fill="FFFFFF"/>
        <w:spacing w:after="0" w:line="450" w:lineRule="atLeast"/>
        <w:jc w:val="both"/>
        <w:textAlignment w:val="baseline"/>
        <w:rPr>
          <w:rFonts w:ascii="ApparatSemiCond" w:hAnsi="ApparatSemiCond" w:cs="Times New Roman"/>
          <w:sz w:val="24"/>
          <w:szCs w:val="24"/>
        </w:rPr>
      </w:pPr>
      <w:r w:rsidRPr="007F78F8">
        <w:rPr>
          <w:rFonts w:ascii="ApparatSemiCond" w:hAnsi="ApparatSemiCond" w:cs="Times New Roman"/>
          <w:sz w:val="24"/>
          <w:szCs w:val="24"/>
        </w:rPr>
        <w:t>Zgodnie z ustawą z dnia 29 lipca 2005 roku o przeciwdziałaniu przemocy domowej</w:t>
      </w:r>
      <w:r w:rsidRPr="007F78F8">
        <w:rPr>
          <w:rStyle w:val="Odwoanieprzypisudolnego"/>
          <w:rFonts w:ascii="ApparatSemiCond" w:hAnsi="ApparatSemiCond" w:cs="Times New Roman"/>
          <w:sz w:val="24"/>
          <w:szCs w:val="24"/>
        </w:rPr>
        <w:footnoteReference w:id="1"/>
      </w:r>
      <w:r w:rsidRPr="007F78F8">
        <w:rPr>
          <w:rFonts w:ascii="ApparatSemiCond" w:hAnsi="ApparatSemiCond" w:cs="Times New Roman"/>
          <w:sz w:val="24"/>
          <w:szCs w:val="24"/>
        </w:rPr>
        <w:t>, której znowelizowane przepisy weszły w życie w czerwcu 2023 roku</w:t>
      </w:r>
      <w:r w:rsidR="00E91DE6" w:rsidRPr="007F78F8">
        <w:rPr>
          <w:rStyle w:val="Odwoanieprzypisudolnego"/>
          <w:rFonts w:ascii="ApparatSemiCond" w:hAnsi="ApparatSemiCond" w:cs="Times New Roman"/>
          <w:sz w:val="24"/>
          <w:szCs w:val="24"/>
        </w:rPr>
        <w:footnoteReference w:id="2"/>
      </w:r>
      <w:r w:rsidRPr="007F78F8">
        <w:rPr>
          <w:rFonts w:ascii="ApparatSemiCond" w:hAnsi="ApparatSemiCond" w:cs="Times New Roman"/>
          <w:sz w:val="24"/>
          <w:szCs w:val="24"/>
        </w:rPr>
        <w:t>, przez przemoc domową definiuje się jednorazowe albo powtarzające się umyślne działanie lub zaniechanie, naruszające prawa lub dobra osobiste osoby doznającej przemocy domowej, w szczególności narażające tę osobę na niebezpieczeństwo utraty życia, zdrowia, mienia, naruszające jej godność, nietykalność cielesną, wolność, w tym seksualną, powodujące szkody na jej zdrowiu fizycznym lub psychicznym, wywołujące u tej osoby cierpienia, krzywdy moralne oraz mające na celu uzyskanie kontroli w zakresie nabywania i korzystania z posiadanych przez tę osobę zasobów ekonomicznych.</w:t>
      </w:r>
      <w:r w:rsidRPr="007F78F8">
        <w:rPr>
          <w:rFonts w:ascii="ApparatSemiCond" w:hAnsi="ApparatSemiCond" w:cs="Cambria"/>
          <w:sz w:val="24"/>
          <w:szCs w:val="24"/>
        </w:rPr>
        <w:t> </w:t>
      </w:r>
      <w:r w:rsidR="00E91DE6" w:rsidRPr="007F78F8">
        <w:rPr>
          <w:rFonts w:ascii="ApparatSemiCond" w:hAnsi="ApparatSemiCond" w:cs="Times New Roman"/>
          <w:sz w:val="24"/>
          <w:szCs w:val="24"/>
        </w:rPr>
        <w:tab/>
      </w:r>
    </w:p>
    <w:p w14:paraId="4100ECD7" w14:textId="3D10D12C" w:rsidR="00CD5F80" w:rsidRPr="007F78F8" w:rsidRDefault="00CD5F80" w:rsidP="00E91DE6">
      <w:pPr>
        <w:shd w:val="clear" w:color="auto" w:fill="FFFFFF"/>
        <w:spacing w:after="0" w:line="450" w:lineRule="atLeast"/>
        <w:ind w:firstLine="708"/>
        <w:jc w:val="both"/>
        <w:textAlignment w:val="baseline"/>
        <w:rPr>
          <w:rFonts w:ascii="ApparatSemiCond" w:hAnsi="ApparatSemiCond" w:cs="Times New Roman"/>
          <w:sz w:val="24"/>
          <w:szCs w:val="24"/>
        </w:rPr>
      </w:pPr>
      <w:r w:rsidRPr="007F78F8">
        <w:rPr>
          <w:rFonts w:ascii="ApparatSemiCond" w:hAnsi="ApparatSemiCond" w:cs="Times New Roman"/>
          <w:sz w:val="24"/>
          <w:szCs w:val="24"/>
        </w:rPr>
        <w:t>W dostępnych opracowaniach najczęściej wyróżnia się przemoc fizyczną, psychiczną, seksualną, ekonomiczną i zaniedbanie. Przemoc fizyczna polega na naruszeniu nietykalności fizycznej. Jest ona intencjonalnym zachowaniem powodującym uszkodzenie ciała lub niosącym takie ryzyko. Polega m. in. na popychaniu, szarpaniu, szturchaniu, klepaniu, ciągnięciu za uszy, szczypaniu, kopaniu, biciu ręka i pięścią, uderzaniu w  twarz, przypalaniu papierosem, duszeniu, krępowaniu ruchów. Z kolei przemoc psychiczna to najczęstsza forma przemocy, która jednocześnie jest najtrudniejsza do udowodnienia. Zawiera ona przymus i groźby, np. obrażanie, wyzywanie, ocenianie, krytykowanie, straszenie, szantażowanie, nieliczenie się z uczuciami, krzyczenie, oskarżanie, obwinianie, krzywdzenie zwierząt, czytanie osobistej korespondencji, ujawnianie tajemnic, lekceważenie, wyśmiewanie. Przemoc ta prowadzi do zniszczenia poczucia mocy sprawczej ofiary, jej poczucia własnej wartości i godności</w:t>
      </w:r>
      <w:r w:rsidRPr="007F78F8">
        <w:rPr>
          <w:rStyle w:val="Odwoanieprzypisudolnego"/>
          <w:rFonts w:ascii="ApparatSemiCond" w:hAnsi="ApparatSemiCond" w:cs="Times New Roman"/>
          <w:sz w:val="24"/>
          <w:szCs w:val="24"/>
        </w:rPr>
        <w:footnoteReference w:id="3"/>
      </w:r>
      <w:r w:rsidRPr="007F78F8">
        <w:rPr>
          <w:rFonts w:ascii="ApparatSemiCond" w:hAnsi="ApparatSemiCond" w:cs="Times New Roman"/>
          <w:sz w:val="24"/>
          <w:szCs w:val="24"/>
        </w:rPr>
        <w:t xml:space="preserve">. Przemoc seksualna stanowi kategorię zachowań dotyczących sfery seksualnej i </w:t>
      </w:r>
      <w:r w:rsidRPr="007F78F8">
        <w:rPr>
          <w:rFonts w:ascii="ApparatSemiCond" w:hAnsi="ApparatSemiCond" w:cs="Times New Roman"/>
          <w:sz w:val="24"/>
          <w:szCs w:val="24"/>
        </w:rPr>
        <w:lastRenderedPageBreak/>
        <w:t>obejmuje gwałt, molestowanie seksualne, stręczycielstwo i prostytucję. Działania te są kwalifikowane jako przestępstwa</w:t>
      </w:r>
      <w:r w:rsidRPr="007F78F8">
        <w:rPr>
          <w:rStyle w:val="Odwoanieprzypisudolnego"/>
          <w:rFonts w:ascii="ApparatSemiCond" w:hAnsi="ApparatSemiCond" w:cs="Times New Roman"/>
          <w:sz w:val="24"/>
          <w:szCs w:val="24"/>
        </w:rPr>
        <w:footnoteReference w:id="4"/>
      </w:r>
      <w:r w:rsidRPr="007F78F8">
        <w:rPr>
          <w:rFonts w:ascii="ApparatSemiCond" w:hAnsi="ApparatSemiCond" w:cs="Times New Roman"/>
          <w:sz w:val="24"/>
          <w:szCs w:val="24"/>
        </w:rPr>
        <w:t>. Trzeba jednak pamiętać, że molestowanie seksualne może przybiera formę werbalną, pozawerbalną i zachowania fizycznego o seksualnym charakterze. Zachowanie werbalne przybiera postać żartów, pytań czy uwag formułowanych przez sprawcę. Zachowanie fizyczne odnosi się do jakichkolwiek zachowań sprawcy, które skutkują kontaktem fizycznym i mają podtekst seksualny. Przemoc seksualna może przybierać formę wymuszania stosunków seksualnych lub zmuszania do niechcianych zachowań seksualnych</w:t>
      </w:r>
      <w:r w:rsidRPr="007F78F8">
        <w:rPr>
          <w:rStyle w:val="Odwoanieprzypisudolnego"/>
          <w:rFonts w:ascii="ApparatSemiCond" w:hAnsi="ApparatSemiCond" w:cs="Times New Roman"/>
          <w:sz w:val="24"/>
          <w:szCs w:val="24"/>
        </w:rPr>
        <w:footnoteReference w:id="5"/>
      </w:r>
      <w:r w:rsidRPr="007F78F8">
        <w:rPr>
          <w:rFonts w:ascii="ApparatSemiCond" w:hAnsi="ApparatSemiCond" w:cs="Times New Roman"/>
          <w:sz w:val="24"/>
          <w:szCs w:val="24"/>
        </w:rPr>
        <w:t xml:space="preserve">. Przemoc ekonomiczna </w:t>
      </w:r>
      <w:r w:rsidRPr="007F78F8">
        <w:rPr>
          <w:rFonts w:ascii="ApparatSemiCond" w:hAnsi="ApparatSemiCond" w:cs="Times New Roman"/>
          <w:iCs/>
          <w:sz w:val="24"/>
          <w:szCs w:val="24"/>
        </w:rPr>
        <w:t>to zachowanie mające na celu kontrolę zdolności drugiej osoby do nabywania, utrzymywania i korzystania z zasobów ekonomicznych w celu podporządkowania sobie tej osoby</w:t>
      </w:r>
      <w:r w:rsidRPr="007F78F8">
        <w:rPr>
          <w:rStyle w:val="Odwoanieprzypisudolnego"/>
          <w:rFonts w:ascii="ApparatSemiCond" w:hAnsi="ApparatSemiCond" w:cs="Times New Roman"/>
          <w:iCs/>
          <w:sz w:val="24"/>
          <w:szCs w:val="24"/>
        </w:rPr>
        <w:footnoteReference w:id="6"/>
      </w:r>
      <w:r w:rsidRPr="007F78F8">
        <w:rPr>
          <w:rFonts w:ascii="ApparatSemiCond" w:hAnsi="ApparatSemiCond" w:cs="Times New Roman"/>
          <w:iCs/>
          <w:sz w:val="24"/>
          <w:szCs w:val="24"/>
        </w:rPr>
        <w:t>.  Może zatem ona p</w:t>
      </w:r>
      <w:r w:rsidRPr="007F78F8">
        <w:rPr>
          <w:rFonts w:ascii="ApparatSemiCond" w:hAnsi="ApparatSemiCond" w:cs="Times New Roman"/>
          <w:sz w:val="24"/>
          <w:szCs w:val="24"/>
        </w:rPr>
        <w:t>olegać na zabieraniu lub wydzielaniu pieniędzy, zakazywaniu lub utrudnianiu podjęcia pracy zarobkowej, kontrolowaniu wszystkich wydatków, kontrolowaniu konta bankowego, zaciąganiu bez porozumienia kredytów, pożyczek, niszczeniu rzeczy osobistych lub stanowiących wspólną własność lub sprzedawania ich bez porozumienia, a także pozostawiania bez opieki osoby, która z powodu choroby, wieku, bądź niepełnosprawności nie może samodzielnie zaspokoić niezbędnych potrzeb. Wreszcie zaniedbanie, to niezaspokajanie podstawowych potrzeb biologicznych i psychicznych osoby zależnej od opiekuna dziecka, osoby starszej, osoby chorującej</w:t>
      </w:r>
      <w:r w:rsidRPr="007F78F8">
        <w:rPr>
          <w:rStyle w:val="Odwoanieprzypisudolnego"/>
          <w:rFonts w:ascii="ApparatSemiCond" w:hAnsi="ApparatSemiCond" w:cs="Times New Roman"/>
          <w:sz w:val="24"/>
          <w:szCs w:val="24"/>
        </w:rPr>
        <w:footnoteReference w:id="7"/>
      </w:r>
      <w:r w:rsidRPr="007F78F8">
        <w:rPr>
          <w:rFonts w:ascii="ApparatSemiCond" w:hAnsi="ApparatSemiCond" w:cs="Times New Roman"/>
          <w:sz w:val="24"/>
          <w:szCs w:val="24"/>
        </w:rPr>
        <w:t>.</w:t>
      </w:r>
    </w:p>
    <w:p w14:paraId="5B8AC45A" w14:textId="77777777" w:rsidR="00CD5F80" w:rsidRPr="007F78F8" w:rsidRDefault="00CD5F80" w:rsidP="00E91DE6">
      <w:pPr>
        <w:autoSpaceDE w:val="0"/>
        <w:autoSpaceDN w:val="0"/>
        <w:adjustRightInd w:val="0"/>
        <w:spacing w:after="0" w:line="360" w:lineRule="auto"/>
        <w:ind w:firstLine="284"/>
        <w:contextualSpacing/>
        <w:jc w:val="both"/>
        <w:rPr>
          <w:rFonts w:ascii="ApparatSemiCond" w:eastAsiaTheme="minorHAnsi" w:hAnsi="ApparatSemiCond" w:cs="Times New Roman"/>
          <w:sz w:val="24"/>
          <w:szCs w:val="24"/>
          <w:lang w:eastAsia="en-US"/>
        </w:rPr>
      </w:pPr>
    </w:p>
    <w:p w14:paraId="49C7BA6C" w14:textId="6AB15F72" w:rsidR="007F78F8" w:rsidRPr="007F78F8" w:rsidRDefault="007F78F8" w:rsidP="00E91DE6">
      <w:pPr>
        <w:autoSpaceDE w:val="0"/>
        <w:autoSpaceDN w:val="0"/>
        <w:adjustRightInd w:val="0"/>
        <w:spacing w:after="0" w:line="360" w:lineRule="auto"/>
        <w:ind w:firstLine="284"/>
        <w:contextualSpacing/>
        <w:jc w:val="both"/>
        <w:rPr>
          <w:rFonts w:ascii="ApparatSemiCond" w:eastAsiaTheme="minorHAnsi" w:hAnsi="ApparatSemiCond" w:cs="Times New Roman"/>
          <w:i/>
          <w:iCs/>
          <w:sz w:val="24"/>
          <w:szCs w:val="24"/>
          <w:lang w:eastAsia="en-US"/>
        </w:rPr>
      </w:pPr>
      <w:r w:rsidRPr="007F78F8">
        <w:rPr>
          <w:rFonts w:ascii="ApparatSemiCond" w:eastAsiaTheme="minorHAnsi" w:hAnsi="ApparatSemiCond" w:cs="Times New Roman"/>
          <w:i/>
          <w:iCs/>
          <w:sz w:val="24"/>
          <w:szCs w:val="24"/>
          <w:lang w:eastAsia="en-US"/>
        </w:rPr>
        <w:t>Tekst powstał w ramach bezpłatnej ogólnopolskiej kampanii edukacyjnej „Przeciwdziałanie przemocy domowej” realizowanej w 2024 r. przez Fundację Instytut Nowej Kultur</w:t>
      </w:r>
      <w:r w:rsidR="00197478">
        <w:rPr>
          <w:rFonts w:ascii="ApparatSemiCond" w:eastAsiaTheme="minorHAnsi" w:hAnsi="ApparatSemiCond" w:cs="Times New Roman"/>
          <w:i/>
          <w:iCs/>
          <w:sz w:val="24"/>
          <w:szCs w:val="24"/>
          <w:lang w:eastAsia="en-US"/>
        </w:rPr>
        <w:t xml:space="preserve">y, </w:t>
      </w:r>
      <w:hyperlink r:id="rId9" w:history="1">
        <w:r w:rsidR="00197478" w:rsidRPr="00197478">
          <w:rPr>
            <w:rStyle w:val="Hipercze"/>
            <w:rFonts w:ascii="ApparatSemiCond" w:eastAsiaTheme="minorHAnsi" w:hAnsi="ApparatSemiCond" w:cs="Times New Roman"/>
            <w:i/>
            <w:iCs/>
            <w:sz w:val="24"/>
            <w:szCs w:val="24"/>
            <w:lang w:eastAsia="en-US"/>
          </w:rPr>
          <w:t>www.instytutnowejkultury.pl</w:t>
        </w:r>
      </w:hyperlink>
    </w:p>
    <w:p w14:paraId="0DE7A3B7" w14:textId="77777777" w:rsidR="00091CD2" w:rsidRPr="007F78F8" w:rsidRDefault="00091CD2" w:rsidP="00E91DE6">
      <w:pPr>
        <w:spacing w:after="0"/>
        <w:rPr>
          <w:rFonts w:ascii="ApparatSemiCond" w:hAnsi="ApparatSemiCond" w:cs="Times New Roman"/>
          <w:sz w:val="24"/>
          <w:szCs w:val="24"/>
        </w:rPr>
      </w:pPr>
    </w:p>
    <w:sectPr w:rsidR="00091CD2" w:rsidRPr="007F78F8" w:rsidSect="00081001">
      <w:pgSz w:w="11906" w:h="16838"/>
      <w:pgMar w:top="6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D235" w14:textId="77777777" w:rsidR="00081001" w:rsidRDefault="00081001" w:rsidP="00CD5F80">
      <w:pPr>
        <w:spacing w:after="0" w:line="240" w:lineRule="auto"/>
      </w:pPr>
      <w:r>
        <w:separator/>
      </w:r>
    </w:p>
  </w:endnote>
  <w:endnote w:type="continuationSeparator" w:id="0">
    <w:p w14:paraId="662EA28E" w14:textId="77777777" w:rsidR="00081001" w:rsidRDefault="00081001" w:rsidP="00CD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paratSemiCond">
    <w:altName w:val="Calibri"/>
    <w:panose1 w:val="00000000000000000000"/>
    <w:charset w:val="00"/>
    <w:family w:val="auto"/>
    <w:notTrueType/>
    <w:pitch w:val="variable"/>
    <w:sig w:usb0="00000287" w:usb1="00000001"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212F" w14:textId="77777777" w:rsidR="00081001" w:rsidRDefault="00081001" w:rsidP="00CD5F80">
      <w:pPr>
        <w:spacing w:after="0" w:line="240" w:lineRule="auto"/>
      </w:pPr>
      <w:r>
        <w:separator/>
      </w:r>
    </w:p>
  </w:footnote>
  <w:footnote w:type="continuationSeparator" w:id="0">
    <w:p w14:paraId="5EC2C902" w14:textId="77777777" w:rsidR="00081001" w:rsidRDefault="00081001" w:rsidP="00CD5F80">
      <w:pPr>
        <w:spacing w:after="0" w:line="240" w:lineRule="auto"/>
      </w:pPr>
      <w:r>
        <w:continuationSeparator/>
      </w:r>
    </w:p>
  </w:footnote>
  <w:footnote w:id="1">
    <w:p w14:paraId="79A4E0C4" w14:textId="6CBD98E1" w:rsidR="00B62346" w:rsidRPr="00197478" w:rsidRDefault="00B62346">
      <w:pPr>
        <w:pStyle w:val="Tekstprzypisudolnego"/>
        <w:rPr>
          <w:rFonts w:ascii="ApparatSemiCond" w:hAnsi="ApparatSemiCond"/>
          <w:lang w:val="pl-PL"/>
        </w:rPr>
      </w:pPr>
      <w:r w:rsidRPr="00197478">
        <w:rPr>
          <w:rStyle w:val="Odwoanieprzypisudolnego"/>
          <w:rFonts w:ascii="ApparatSemiCond" w:hAnsi="ApparatSemiCond"/>
        </w:rPr>
        <w:footnoteRef/>
      </w:r>
      <w:r w:rsidRPr="00197478">
        <w:rPr>
          <w:rFonts w:ascii="ApparatSemiCond" w:hAnsi="ApparatSemiCond"/>
        </w:rPr>
        <w:t xml:space="preserve"> </w:t>
      </w:r>
      <w:r w:rsidRPr="00197478">
        <w:rPr>
          <w:rFonts w:ascii="ApparatSemiCond" w:hAnsi="ApparatSemiCond"/>
          <w:lang w:val="pl-PL"/>
        </w:rPr>
        <w:t>Dz. U.</w:t>
      </w:r>
      <w:r w:rsidRPr="00197478">
        <w:rPr>
          <w:rFonts w:ascii="ApparatSemiCond" w:hAnsi="ApparatSemiCond"/>
        </w:rPr>
        <w:t xml:space="preserve"> z 2021 r. poz. 1249</w:t>
      </w:r>
    </w:p>
  </w:footnote>
  <w:footnote w:id="2">
    <w:p w14:paraId="593E2C7C" w14:textId="3FF3846C" w:rsidR="00E91DE6" w:rsidRPr="00E91DE6" w:rsidRDefault="00E91DE6">
      <w:pPr>
        <w:pStyle w:val="Tekstprzypisudolnego"/>
      </w:pPr>
      <w:r w:rsidRPr="00197478">
        <w:rPr>
          <w:rStyle w:val="Odwoanieprzypisudolnego"/>
          <w:rFonts w:ascii="ApparatSemiCond" w:hAnsi="ApparatSemiCond"/>
        </w:rPr>
        <w:footnoteRef/>
      </w:r>
      <w:r w:rsidRPr="00197478">
        <w:rPr>
          <w:rFonts w:ascii="ApparatSemiCond" w:hAnsi="ApparatSemiCond"/>
        </w:rPr>
        <w:t xml:space="preserve"> Ustawa z dnia 9 marca 2023 roku o zmianie ustawy o przeciwdziałaniu przemocy w rodzinie i niektórych innych ustaw (Dz. U. poz. 535)</w:t>
      </w:r>
    </w:p>
  </w:footnote>
  <w:footnote w:id="3">
    <w:p w14:paraId="6E34F7E0" w14:textId="7BD8C129" w:rsidR="00CD5F80" w:rsidRPr="00197478" w:rsidRDefault="00CD5F80" w:rsidP="00CD5F80">
      <w:pPr>
        <w:pStyle w:val="Tekstprzypisudolnego"/>
        <w:rPr>
          <w:rFonts w:ascii="ApparatSemiCond" w:hAnsi="ApparatSemiCond"/>
        </w:rPr>
      </w:pPr>
      <w:r w:rsidRPr="00B62346">
        <w:rPr>
          <w:rStyle w:val="Odwoanieprzypisudolnego"/>
          <w:rFonts w:ascii="Times New Roman" w:hAnsi="Times New Roman"/>
        </w:rPr>
        <w:footnoteRef/>
      </w:r>
      <w:r w:rsidRPr="00B62346">
        <w:rPr>
          <w:rFonts w:ascii="Times New Roman" w:hAnsi="Times New Roman"/>
        </w:rPr>
        <w:t xml:space="preserve"> </w:t>
      </w:r>
      <w:r w:rsidRPr="00197478">
        <w:rPr>
          <w:rFonts w:ascii="ApparatSemiCond" w:hAnsi="ApparatSemiCond"/>
        </w:rPr>
        <w:t xml:space="preserve">niebieskalinia.info/index.php/przemoc-w-rodzinie/8-rodzaj-przemocy (data wejścia: </w:t>
      </w:r>
      <w:r w:rsidRPr="00197478">
        <w:rPr>
          <w:rFonts w:ascii="ApparatSemiCond" w:hAnsi="ApparatSemiCond"/>
          <w:lang w:val="pl-PL"/>
        </w:rPr>
        <w:t>0</w:t>
      </w:r>
      <w:r w:rsidR="00B62346" w:rsidRPr="00197478">
        <w:rPr>
          <w:rFonts w:ascii="ApparatSemiCond" w:hAnsi="ApparatSemiCond"/>
          <w:lang w:val="pl-PL"/>
        </w:rPr>
        <w:t>6</w:t>
      </w:r>
      <w:r w:rsidRPr="00197478">
        <w:rPr>
          <w:rFonts w:ascii="ApparatSemiCond" w:hAnsi="ApparatSemiCond"/>
          <w:lang w:val="pl-PL"/>
        </w:rPr>
        <w:t>.03</w:t>
      </w:r>
      <w:r w:rsidRPr="00197478">
        <w:rPr>
          <w:rFonts w:ascii="ApparatSemiCond" w:hAnsi="ApparatSemiCond"/>
        </w:rPr>
        <w:t>.202</w:t>
      </w:r>
      <w:r w:rsidR="00B62346" w:rsidRPr="00197478">
        <w:rPr>
          <w:rFonts w:ascii="ApparatSemiCond" w:hAnsi="ApparatSemiCond"/>
          <w:lang w:val="pl-PL"/>
        </w:rPr>
        <w:t>4</w:t>
      </w:r>
      <w:r w:rsidRPr="00197478">
        <w:rPr>
          <w:rFonts w:ascii="ApparatSemiCond" w:hAnsi="ApparatSemiCond"/>
        </w:rPr>
        <w:t>)</w:t>
      </w:r>
    </w:p>
  </w:footnote>
  <w:footnote w:id="4">
    <w:p w14:paraId="01163774" w14:textId="77777777" w:rsidR="00CD5F80" w:rsidRPr="00197478" w:rsidRDefault="00CD5F80" w:rsidP="00CD5F80">
      <w:pPr>
        <w:spacing w:after="0" w:line="240" w:lineRule="auto"/>
        <w:jc w:val="both"/>
        <w:rPr>
          <w:rFonts w:ascii="ApparatSemiCond" w:hAnsi="ApparatSemiCond" w:cs="Times New Roman"/>
        </w:rPr>
      </w:pPr>
      <w:r w:rsidRPr="00197478">
        <w:rPr>
          <w:rStyle w:val="Odwoanieprzypisudolnego"/>
          <w:rFonts w:ascii="ApparatSemiCond" w:hAnsi="ApparatSemiCond" w:cs="Times New Roman"/>
        </w:rPr>
        <w:footnoteRef/>
      </w:r>
      <w:r w:rsidRPr="00197478">
        <w:rPr>
          <w:rFonts w:ascii="ApparatSemiCond" w:hAnsi="ApparatSemiCond" w:cs="Times New Roman"/>
        </w:rPr>
        <w:t xml:space="preserve"> A. Wojnarska: Przemoc seksualna wobec dzieci – terapia sprawców i ofiar, [w:] A. Lewicka-Zelent (red.): Przemoc rodzinna. Aspekty psychologiczne, pedagogiczne i prawne, Difin, Warszawa 2017, s. 88 - 100</w:t>
      </w:r>
    </w:p>
  </w:footnote>
  <w:footnote w:id="5">
    <w:p w14:paraId="4C59FFFB" w14:textId="77777777" w:rsidR="00CD5F80" w:rsidRPr="00197478" w:rsidRDefault="00CD5F80" w:rsidP="00CD5F80">
      <w:pPr>
        <w:pStyle w:val="Tekstprzypisudolnego"/>
        <w:rPr>
          <w:rFonts w:ascii="ApparatSemiCond" w:hAnsi="ApparatSemiCond"/>
        </w:rPr>
      </w:pPr>
      <w:r w:rsidRPr="00197478">
        <w:rPr>
          <w:rStyle w:val="Odwoanieprzypisudolnego"/>
          <w:rFonts w:ascii="ApparatSemiCond" w:hAnsi="ApparatSemiCond"/>
        </w:rPr>
        <w:footnoteRef/>
      </w:r>
      <w:r w:rsidRPr="00197478">
        <w:rPr>
          <w:rFonts w:ascii="ApparatSemiCond" w:hAnsi="ApparatSemiCond"/>
        </w:rPr>
        <w:t xml:space="preserve"> Por. E. Bieńkowska, L. Mazowiecka (red.) </w:t>
      </w:r>
      <w:r w:rsidRPr="00197478">
        <w:rPr>
          <w:rFonts w:ascii="ApparatSemiCond" w:hAnsi="ApparatSemiCond"/>
          <w:i/>
          <w:iCs/>
        </w:rPr>
        <w:t>Konwencja o zapobieganiu z zwalczaniu przemocy  wobec kobiet i przemocy domowej. Komentarz</w:t>
      </w:r>
      <w:r w:rsidRPr="00197478">
        <w:rPr>
          <w:rFonts w:ascii="ApparatSemiCond" w:hAnsi="ApparatSemiCond"/>
        </w:rPr>
        <w:t>, Wolters Kluwer, Warszawa 2016, s. 453</w:t>
      </w:r>
    </w:p>
  </w:footnote>
  <w:footnote w:id="6">
    <w:p w14:paraId="33BE2BC8" w14:textId="77777777" w:rsidR="00CD5F80" w:rsidRPr="00197478" w:rsidRDefault="00CD5F80" w:rsidP="00CD5F80">
      <w:pPr>
        <w:pStyle w:val="Tekstprzypisudolnego"/>
        <w:rPr>
          <w:rFonts w:ascii="ApparatSemiCond" w:hAnsi="ApparatSemiCond"/>
        </w:rPr>
      </w:pPr>
      <w:r w:rsidRPr="00197478">
        <w:rPr>
          <w:rStyle w:val="Odwoanieprzypisudolnego"/>
          <w:rFonts w:ascii="ApparatSemiCond" w:hAnsi="ApparatSemiCond"/>
        </w:rPr>
        <w:footnoteRef/>
      </w:r>
      <w:r w:rsidRPr="00197478">
        <w:rPr>
          <w:rFonts w:ascii="ApparatSemiCond" w:hAnsi="ApparatSemiCond"/>
        </w:rPr>
        <w:t xml:space="preserve"> </w:t>
      </w:r>
      <w:r w:rsidRPr="00197478">
        <w:rPr>
          <w:rFonts w:ascii="ApparatSemiCond" w:hAnsi="ApparatSemiCond"/>
          <w:i/>
          <w:iCs/>
        </w:rPr>
        <w:t>Polska Wolna od przemocy wobec kobiet. Wybrane problemy dotyczące wdrożenia Konwencji o zapobieganiu i zwalczaniu przemocy wobec kobiet i przemocy domowej</w:t>
      </w:r>
      <w:r w:rsidRPr="00197478">
        <w:rPr>
          <w:rFonts w:ascii="ApparatSemiCond" w:hAnsi="ApparatSemiCond"/>
        </w:rPr>
        <w:t>, Amnesty International, str. 21</w:t>
      </w:r>
    </w:p>
  </w:footnote>
  <w:footnote w:id="7">
    <w:p w14:paraId="21A276AB" w14:textId="77777777" w:rsidR="00CD5F80" w:rsidRPr="00B62346" w:rsidRDefault="00CD5F80" w:rsidP="00CD5F80">
      <w:pPr>
        <w:pStyle w:val="Tekstprzypisudolnego"/>
        <w:rPr>
          <w:rFonts w:ascii="Times New Roman" w:hAnsi="Times New Roman"/>
        </w:rPr>
      </w:pPr>
      <w:r w:rsidRPr="00197478">
        <w:rPr>
          <w:rStyle w:val="Odwoanieprzypisudolnego"/>
          <w:rFonts w:ascii="ApparatSemiCond" w:hAnsi="ApparatSemiCond"/>
        </w:rPr>
        <w:footnoteRef/>
      </w:r>
      <w:r w:rsidRPr="00197478">
        <w:rPr>
          <w:rFonts w:ascii="ApparatSemiCond" w:hAnsi="ApparatSemiCond"/>
        </w:rPr>
        <w:t xml:space="preserve"> </w:t>
      </w:r>
      <w:r w:rsidRPr="00197478">
        <w:rPr>
          <w:rFonts w:ascii="ApparatSemiCond" w:hAnsi="ApparatSemiCond"/>
          <w:i/>
          <w:iCs/>
        </w:rPr>
        <w:t>Rodzinna tajemnica, Przemoc w rodzinach z problemem alkoholowym</w:t>
      </w:r>
      <w:r w:rsidRPr="00197478">
        <w:rPr>
          <w:rFonts w:ascii="ApparatSemiCond" w:hAnsi="ApparatSemiCond"/>
        </w:rPr>
        <w:t>, Zespół Ogólnopolskiego Pogotowia dla Ofiar Przemocy w Rodzinie „Niebieska Linia” Instytutu Psychologii Zdrowia Polskiego Towarzystwa Psychologicznego, Warszawa 2021, s.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5673"/>
    <w:multiLevelType w:val="multilevel"/>
    <w:tmpl w:val="958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1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80"/>
    <w:rsid w:val="00036CAE"/>
    <w:rsid w:val="00081001"/>
    <w:rsid w:val="00091CD2"/>
    <w:rsid w:val="00180A79"/>
    <w:rsid w:val="00197478"/>
    <w:rsid w:val="00524B85"/>
    <w:rsid w:val="00674192"/>
    <w:rsid w:val="007F78F8"/>
    <w:rsid w:val="009B0F7E"/>
    <w:rsid w:val="00B62346"/>
    <w:rsid w:val="00C0475C"/>
    <w:rsid w:val="00CD5F80"/>
    <w:rsid w:val="00D020B9"/>
    <w:rsid w:val="00DA5DE1"/>
    <w:rsid w:val="00E91DE6"/>
    <w:rsid w:val="00FA0C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EF91"/>
  <w15:chartTrackingRefBased/>
  <w15:docId w15:val="{087B32DA-31DC-48B5-AB9C-B2C86A7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F80"/>
    <w:pPr>
      <w:spacing w:after="200" w:line="276" w:lineRule="auto"/>
    </w:pPr>
    <w:rPr>
      <w:rFonts w:ascii="Calibri" w:eastAsia="Times New Roman" w:hAnsi="Calibri" w:cs="Calibri"/>
      <w:kern w:val="0"/>
      <w:sz w:val="20"/>
      <w:szCs w:val="20"/>
      <w:lang w:eastAsia="pl-PL"/>
      <w14:ligatures w14:val="none"/>
    </w:rPr>
  </w:style>
  <w:style w:type="paragraph" w:styleId="Nagwek1">
    <w:name w:val="heading 1"/>
    <w:basedOn w:val="Normalny"/>
    <w:next w:val="Normalny"/>
    <w:link w:val="Nagwek1Znak"/>
    <w:uiPriority w:val="9"/>
    <w:qFormat/>
    <w:rsid w:val="00C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F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F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F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F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F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F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F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F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F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F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F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F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F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F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F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F80"/>
    <w:rPr>
      <w:rFonts w:eastAsiaTheme="majorEastAsia" w:cstheme="majorBidi"/>
      <w:color w:val="272727" w:themeColor="text1" w:themeTint="D8"/>
    </w:rPr>
  </w:style>
  <w:style w:type="paragraph" w:styleId="Tytu">
    <w:name w:val="Title"/>
    <w:basedOn w:val="Normalny"/>
    <w:next w:val="Normalny"/>
    <w:link w:val="TytuZnak"/>
    <w:uiPriority w:val="10"/>
    <w:qFormat/>
    <w:rsid w:val="00CD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F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F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F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F80"/>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F80"/>
    <w:rPr>
      <w:i/>
      <w:iCs/>
      <w:color w:val="404040" w:themeColor="text1" w:themeTint="BF"/>
    </w:rPr>
  </w:style>
  <w:style w:type="paragraph" w:styleId="Akapitzlist">
    <w:name w:val="List Paragraph"/>
    <w:basedOn w:val="Normalny"/>
    <w:uiPriority w:val="34"/>
    <w:qFormat/>
    <w:rsid w:val="00CD5F80"/>
    <w:pPr>
      <w:ind w:left="720"/>
      <w:contextualSpacing/>
    </w:pPr>
  </w:style>
  <w:style w:type="character" w:styleId="Wyrnienieintensywne">
    <w:name w:val="Intense Emphasis"/>
    <w:basedOn w:val="Domylnaczcionkaakapitu"/>
    <w:uiPriority w:val="21"/>
    <w:qFormat/>
    <w:rsid w:val="00CD5F80"/>
    <w:rPr>
      <w:i/>
      <w:iCs/>
      <w:color w:val="0F4761" w:themeColor="accent1" w:themeShade="BF"/>
    </w:rPr>
  </w:style>
  <w:style w:type="paragraph" w:styleId="Cytatintensywny">
    <w:name w:val="Intense Quote"/>
    <w:basedOn w:val="Normalny"/>
    <w:next w:val="Normalny"/>
    <w:link w:val="CytatintensywnyZnak"/>
    <w:uiPriority w:val="30"/>
    <w:qFormat/>
    <w:rsid w:val="00C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F80"/>
    <w:rPr>
      <w:i/>
      <w:iCs/>
      <w:color w:val="0F4761" w:themeColor="accent1" w:themeShade="BF"/>
    </w:rPr>
  </w:style>
  <w:style w:type="character" w:styleId="Odwoanieintensywne">
    <w:name w:val="Intense Reference"/>
    <w:basedOn w:val="Domylnaczcionkaakapitu"/>
    <w:uiPriority w:val="32"/>
    <w:qFormat/>
    <w:rsid w:val="00CD5F80"/>
    <w:rPr>
      <w:b/>
      <w:bCs/>
      <w:smallCaps/>
      <w:color w:val="0F4761" w:themeColor="accent1" w:themeShade="BF"/>
      <w:spacing w:val="5"/>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qFormat/>
    <w:rsid w:val="00CD5F80"/>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basedOn w:val="Domylnaczcionkaakapitu"/>
    <w:link w:val="Tekstprzypisudolnego"/>
    <w:uiPriority w:val="99"/>
    <w:rsid w:val="00CD5F80"/>
    <w:rPr>
      <w:rFonts w:ascii="Calibri" w:eastAsia="Times New Roman" w:hAnsi="Calibri" w:cs="Times New Roman"/>
      <w:kern w:val="0"/>
      <w:sz w:val="20"/>
      <w:szCs w:val="20"/>
      <w:lang w:val="x-none" w:eastAsia="x-none"/>
      <w14:ligatures w14:val="none"/>
    </w:rPr>
  </w:style>
  <w:style w:type="character" w:styleId="Odwoanieprzypisudolnego">
    <w:name w:val="footnote reference"/>
    <w:aliases w:val="FZ,Footnote Reference Number,Footnote symbol,Footnote reference number,note TESI,SUPERS,EN Footnote Reference,Footnote Reference Superscript,Odwołanie przypisu,Znak Znak11,Footnote number,Ref,de nota al pie,Odwo3anie przypisu"/>
    <w:uiPriority w:val="99"/>
    <w:qFormat/>
    <w:rsid w:val="00CD5F80"/>
    <w:rPr>
      <w:vertAlign w:val="superscript"/>
    </w:rPr>
  </w:style>
  <w:style w:type="paragraph" w:styleId="NormalnyWeb">
    <w:name w:val="Normal (Web)"/>
    <w:basedOn w:val="Normalny"/>
    <w:uiPriority w:val="99"/>
    <w:semiHidden/>
    <w:unhideWhenUsed/>
    <w:rsid w:val="00B62346"/>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B62346"/>
    <w:rPr>
      <w:b/>
      <w:bCs/>
    </w:rPr>
  </w:style>
  <w:style w:type="character" w:styleId="Hipercze">
    <w:name w:val="Hyperlink"/>
    <w:basedOn w:val="Domylnaczcionkaakapitu"/>
    <w:uiPriority w:val="99"/>
    <w:unhideWhenUsed/>
    <w:rsid w:val="00197478"/>
    <w:rPr>
      <w:color w:val="467886" w:themeColor="hyperlink"/>
      <w:u w:val="single"/>
    </w:rPr>
  </w:style>
  <w:style w:type="character" w:styleId="Nierozpoznanawzmianka">
    <w:name w:val="Unresolved Mention"/>
    <w:basedOn w:val="Domylnaczcionkaakapitu"/>
    <w:uiPriority w:val="99"/>
    <w:semiHidden/>
    <w:unhideWhenUsed/>
    <w:rsid w:val="0019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35705">
      <w:bodyDiv w:val="1"/>
      <w:marLeft w:val="0"/>
      <w:marRight w:val="0"/>
      <w:marTop w:val="0"/>
      <w:marBottom w:val="0"/>
      <w:divBdr>
        <w:top w:val="none" w:sz="0" w:space="0" w:color="auto"/>
        <w:left w:val="none" w:sz="0" w:space="0" w:color="auto"/>
        <w:bottom w:val="none" w:sz="0" w:space="0" w:color="auto"/>
        <w:right w:val="none" w:sz="0" w:space="0" w:color="auto"/>
      </w:divBdr>
    </w:div>
    <w:div w:id="475802509">
      <w:bodyDiv w:val="1"/>
      <w:marLeft w:val="0"/>
      <w:marRight w:val="0"/>
      <w:marTop w:val="0"/>
      <w:marBottom w:val="0"/>
      <w:divBdr>
        <w:top w:val="none" w:sz="0" w:space="0" w:color="auto"/>
        <w:left w:val="none" w:sz="0" w:space="0" w:color="auto"/>
        <w:bottom w:val="none" w:sz="0" w:space="0" w:color="auto"/>
        <w:right w:val="none" w:sz="0" w:space="0" w:color="auto"/>
      </w:divBdr>
      <w:divsChild>
        <w:div w:id="359862644">
          <w:marLeft w:val="0"/>
          <w:marRight w:val="0"/>
          <w:marTop w:val="0"/>
          <w:marBottom w:val="0"/>
          <w:divBdr>
            <w:top w:val="none" w:sz="0" w:space="0" w:color="auto"/>
            <w:left w:val="none" w:sz="0" w:space="0" w:color="auto"/>
            <w:bottom w:val="none" w:sz="0" w:space="0" w:color="auto"/>
            <w:right w:val="none" w:sz="0" w:space="0" w:color="auto"/>
          </w:divBdr>
          <w:divsChild>
            <w:div w:id="10022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stytutnowejkultu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5D07-0F59-4C47-B9FC-FC67A7DC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3055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Arczewska</dc:creator>
  <cp:keywords/>
  <dc:description/>
  <cp:lastModifiedBy>Gmina Stryszawa</cp:lastModifiedBy>
  <cp:revision>2</cp:revision>
  <dcterms:created xsi:type="dcterms:W3CDTF">2024-04-17T12:05:00Z</dcterms:created>
  <dcterms:modified xsi:type="dcterms:W3CDTF">2024-04-17T12:05:00Z</dcterms:modified>
</cp:coreProperties>
</file>